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3D" w:rsidRPr="008F5D3D" w:rsidRDefault="008F5D3D" w:rsidP="008F5D3D">
      <w:pPr>
        <w:pStyle w:val="Balk1"/>
        <w:jc w:val="center"/>
        <w:rPr>
          <w:rFonts w:ascii="Calibri" w:eastAsia="Calibri" w:hAnsi="Calibri" w:cs="Calibri"/>
          <w:sz w:val="40"/>
        </w:rPr>
      </w:pPr>
      <w:bookmarkStart w:id="0" w:name="_GoBack"/>
      <w:bookmarkEnd w:id="0"/>
      <w:r w:rsidRPr="008F5D3D">
        <w:rPr>
          <w:rFonts w:ascii="Calibri" w:eastAsia="Calibri" w:hAnsi="Calibri" w:cs="Calibri"/>
          <w:sz w:val="40"/>
        </w:rPr>
        <w:t>YAKIT SENSÖRÜ</w:t>
      </w:r>
    </w:p>
    <w:p w:rsidR="008F5D3D" w:rsidRDefault="008F5D3D" w:rsidP="008F5D3D">
      <w:pPr>
        <w:pStyle w:val="Balk1"/>
        <w:rPr>
          <w:rFonts w:ascii="Calibri" w:eastAsia="Calibri" w:hAnsi="Calibri" w:cs="Calibri"/>
          <w:b w:val="0"/>
          <w:sz w:val="22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621"/>
        <w:gridCol w:w="6446"/>
      </w:tblGrid>
      <w:tr w:rsidR="008F5D3D" w:rsidTr="008F5D3D">
        <w:trPr>
          <w:trHeight w:val="3743"/>
        </w:trPr>
        <w:tc>
          <w:tcPr>
            <w:tcW w:w="163" w:type="dxa"/>
          </w:tcPr>
          <w:p w:rsidR="008F5D3D" w:rsidRDefault="008F5D3D" w:rsidP="008F5D3D">
            <w:pPr>
              <w:pStyle w:val="Balk1"/>
              <w:ind w:left="0" w:firstLine="0"/>
              <w:outlineLvl w:val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8F5D3D" w:rsidRDefault="008F5D3D" w:rsidP="008F5D3D">
            <w:pPr>
              <w:pStyle w:val="Balk1"/>
              <w:ind w:left="0" w:firstLine="0"/>
              <w:outlineLvl w:val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8F5D3D" w:rsidRDefault="008F5D3D" w:rsidP="008F5D3D">
            <w:pPr>
              <w:pStyle w:val="Balk1"/>
              <w:ind w:left="0" w:firstLine="0"/>
              <w:outlineLvl w:val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8F5D3D" w:rsidRDefault="008F5D3D" w:rsidP="008F5D3D">
            <w:pPr>
              <w:pStyle w:val="Balk1"/>
              <w:ind w:left="0" w:firstLine="0"/>
              <w:outlineLvl w:val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65A876E" wp14:editId="3A0A8331">
                  <wp:extent cx="1527417" cy="9461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502" cy="95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4" w:type="dxa"/>
          </w:tcPr>
          <w:p w:rsidR="008F5D3D" w:rsidRDefault="008F5D3D" w:rsidP="008F5D3D">
            <w:pPr>
              <w:pStyle w:val="Balk1"/>
              <w:ind w:left="0" w:firstLine="0"/>
              <w:outlineLvl w:val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ECEF48B" wp14:editId="57FD24F5">
                  <wp:extent cx="3340100" cy="2548520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080" cy="256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D3D" w:rsidRDefault="008F5D3D" w:rsidP="008F5D3D">
      <w:pPr>
        <w:pStyle w:val="Balk1"/>
        <w:rPr>
          <w:rFonts w:ascii="Calibri" w:eastAsia="Calibri" w:hAnsi="Calibri" w:cs="Calibri"/>
          <w:b w:val="0"/>
          <w:sz w:val="22"/>
        </w:rPr>
      </w:pPr>
    </w:p>
    <w:p w:rsidR="008F5D3D" w:rsidRDefault="008F5D3D" w:rsidP="008F5D3D">
      <w:pPr>
        <w:pStyle w:val="Balk1"/>
        <w:jc w:val="center"/>
      </w:pPr>
      <w:r>
        <w:t xml:space="preserve">Technical </w:t>
      </w:r>
      <w:proofErr w:type="spellStart"/>
      <w:r>
        <w:t>specification</w:t>
      </w:r>
      <w:proofErr w:type="spellEnd"/>
      <w:r>
        <w:t>:</w:t>
      </w:r>
    </w:p>
    <w:tbl>
      <w:tblPr>
        <w:tblStyle w:val="TableGrid"/>
        <w:tblW w:w="8647" w:type="dxa"/>
        <w:tblInd w:w="768" w:type="dxa"/>
        <w:tblCellMar>
          <w:top w:w="83" w:type="dxa"/>
          <w:left w:w="68" w:type="dxa"/>
          <w:right w:w="77" w:type="dxa"/>
        </w:tblCellMar>
        <w:tblLook w:val="04A0" w:firstRow="1" w:lastRow="0" w:firstColumn="1" w:lastColumn="0" w:noHBand="0" w:noVBand="1"/>
      </w:tblPr>
      <w:tblGrid>
        <w:gridCol w:w="3528"/>
        <w:gridCol w:w="5119"/>
      </w:tblGrid>
      <w:tr w:rsidR="008F5D3D" w:rsidTr="00FA7D66">
        <w:trPr>
          <w:trHeight w:val="433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Measuring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principle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roofErr w:type="spellStart"/>
            <w:r>
              <w:rPr>
                <w:rFonts w:ascii="Arial" w:eastAsia="Arial" w:hAnsi="Arial" w:cs="Arial"/>
                <w:sz w:val="20"/>
              </w:rPr>
              <w:t>capacitive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433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Measuring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range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r>
              <w:rPr>
                <w:rFonts w:ascii="Arial" w:eastAsia="Arial" w:hAnsi="Arial" w:cs="Arial"/>
                <w:sz w:val="20"/>
              </w:rPr>
              <w:t xml:space="preserve">0 –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180 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1000 mm,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cuttable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size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Operating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medium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Fuel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quality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diesel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oil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Output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signal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8F5D3D">
            <w:proofErr w:type="spellStart"/>
            <w:r>
              <w:rPr>
                <w:rFonts w:ascii="Arial" w:eastAsia="Arial" w:hAnsi="Arial" w:cs="Arial"/>
                <w:sz w:val="20"/>
              </w:rPr>
              <w:t>Exclusive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protocol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672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Measurement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precision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5D3D" w:rsidRDefault="008F5D3D" w:rsidP="00FA7D66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~98%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accuracy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guaranteed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only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full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refueling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>!)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Supply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voltage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+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9V 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+36V DC </w:t>
            </w:r>
          </w:p>
        </w:tc>
      </w:tr>
      <w:tr w:rsidR="008F5D3D" w:rsidTr="00FA7D66">
        <w:trPr>
          <w:trHeight w:val="402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Current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consumption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&lt; 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Cables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r>
              <w:rPr>
                <w:rFonts w:ascii="Arial" w:eastAsia="Arial" w:hAnsi="Arial" w:cs="Arial"/>
                <w:sz w:val="20"/>
              </w:rPr>
              <w:t xml:space="preserve">7m, 3×0,14,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protective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tube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550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 w:right="33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Storing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operating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temperature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range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5D3D" w:rsidRDefault="008F5D3D" w:rsidP="00FA7D6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-20 C° ... +60 C°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Protection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IP68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Material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Stainless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steel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5D3D" w:rsidTr="00FA7D66">
        <w:trPr>
          <w:trHeight w:val="800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Dimensions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 w:right="1755"/>
            </w:pPr>
            <w:r>
              <w:rPr>
                <w:rFonts w:ascii="Arial" w:eastAsia="Arial" w:hAnsi="Arial" w:cs="Arial"/>
                <w:sz w:val="20"/>
              </w:rPr>
              <w:t xml:space="preserve">LT36 × 25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hexagonal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casing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connecting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thread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M16 × 1,5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probe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Ø 12 ×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180 …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1000 </w:t>
            </w:r>
          </w:p>
        </w:tc>
      </w:tr>
      <w:tr w:rsidR="008F5D3D" w:rsidTr="00FA7D66">
        <w:trPr>
          <w:trHeight w:val="401"/>
        </w:trPr>
        <w:tc>
          <w:tcPr>
            <w:tcW w:w="3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Gross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weight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5D3D" w:rsidRDefault="008F5D3D" w:rsidP="00FA7D6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1000g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packed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</w:tbl>
    <w:p w:rsidR="005D4C2B" w:rsidRDefault="005D4C2B"/>
    <w:sectPr w:rsidR="005D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3D"/>
    <w:rsid w:val="005D4C2B"/>
    <w:rsid w:val="00761FE6"/>
    <w:rsid w:val="008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9C05-DCF6-44B4-8218-AC01199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3D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8F5D3D"/>
    <w:pPr>
      <w:keepNext/>
      <w:keepLines/>
      <w:spacing w:after="147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5D3D"/>
    <w:rPr>
      <w:rFonts w:ascii="Arial" w:eastAsia="Arial" w:hAnsi="Arial" w:cs="Arial"/>
      <w:b/>
      <w:color w:val="000000"/>
      <w:sz w:val="24"/>
      <w:lang w:eastAsia="tr-TR"/>
    </w:rPr>
  </w:style>
  <w:style w:type="table" w:customStyle="1" w:styleId="TableGrid">
    <w:name w:val="TableGrid"/>
    <w:rsid w:val="008F5D3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F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Bektaş</dc:creator>
  <cp:keywords/>
  <dc:description/>
  <cp:lastModifiedBy>Sabri</cp:lastModifiedBy>
  <cp:revision>2</cp:revision>
  <dcterms:created xsi:type="dcterms:W3CDTF">2013-09-11T10:22:00Z</dcterms:created>
  <dcterms:modified xsi:type="dcterms:W3CDTF">2013-09-24T16:30:00Z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